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cs="Times New Roman"/>
          <w:b/>
          <w:sz w:val="44"/>
          <w:szCs w:val="44"/>
        </w:rPr>
      </w:pPr>
      <w:r>
        <w:rPr>
          <w:rFonts w:hint="eastAsia" w:ascii="宋体" w:hAnsi="宋体" w:cs="Times New Roman"/>
          <w:b/>
          <w:sz w:val="44"/>
          <w:szCs w:val="44"/>
        </w:rPr>
        <w:t>香河县工商业联合会</w:t>
      </w:r>
      <w:r>
        <w:rPr>
          <w:rFonts w:hint="eastAsia" w:ascii="宋体" w:hAnsi="宋体" w:cs="Times New Roman"/>
          <w:b/>
          <w:sz w:val="44"/>
          <w:szCs w:val="44"/>
          <w:lang w:eastAsia="zh-CN"/>
        </w:rPr>
        <w:t>2019年</w:t>
      </w:r>
      <w:r>
        <w:rPr>
          <w:rFonts w:hint="eastAsia" w:ascii="宋体" w:hAnsi="宋体" w:cs="Times New Roman"/>
          <w:b/>
          <w:sz w:val="44"/>
          <w:szCs w:val="44"/>
        </w:rPr>
        <w:t>部门预算信息公开</w:t>
      </w:r>
    </w:p>
    <w:p>
      <w:pPr>
        <w:ind w:firstLine="883" w:firstLineChars="200"/>
        <w:jc w:val="center"/>
        <w:rPr>
          <w:rFonts w:ascii="宋体" w:cs="Times New Roman"/>
          <w:b/>
          <w:sz w:val="44"/>
          <w:szCs w:val="44"/>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按照《预算法》、《地方预决算公开操作规程》和《河北省省级预算公开办法》规定，现将香河县工商业联合会</w:t>
      </w:r>
      <w:r>
        <w:rPr>
          <w:rFonts w:hint="eastAsia" w:ascii="仿宋" w:hAnsi="仿宋" w:eastAsia="仿宋" w:cs="Times New Roman"/>
          <w:sz w:val="32"/>
          <w:szCs w:val="32"/>
          <w:lang w:eastAsia="zh-CN"/>
        </w:rPr>
        <w:t>2019年</w:t>
      </w:r>
      <w:r>
        <w:rPr>
          <w:rFonts w:hint="eastAsia" w:ascii="仿宋" w:hAnsi="仿宋" w:eastAsia="仿宋" w:cs="Times New Roman"/>
          <w:sz w:val="32"/>
          <w:szCs w:val="32"/>
        </w:rPr>
        <w:t>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部门职责：</w:t>
      </w:r>
    </w:p>
    <w:p>
      <w:pPr>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、参政议政，参与我县经济、社会重要决策的政治协商，做好非公有制代表人士政治安排的推荐工作。</w:t>
      </w:r>
    </w:p>
    <w:p>
      <w:pPr>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、宣传党和国家的方针政策，加强和改进思想政治工作、提高本会会员素质，培养骨干分子队伍。</w:t>
      </w:r>
    </w:p>
    <w:p>
      <w:pPr>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、维护本会会员合法权益，向政府反映会员的意见、要求和建议。</w:t>
      </w:r>
    </w:p>
    <w:p>
      <w:pPr>
        <w:ind w:firstLine="640" w:firstLineChars="20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、为本会会员提供市场技术、商品信息，按照国家有关规定，为会员提供管理、法律、会计、审计、融资、咨询等职务。</w:t>
      </w:r>
    </w:p>
    <w:p>
      <w:pPr>
        <w:ind w:firstLine="640" w:firstLineChars="200"/>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rPr>
        <w:t>、组织本会会员举办和参加对外展销会、交易会、帮助会员开拓国内外市场。</w:t>
      </w:r>
    </w:p>
    <w:p>
      <w:pPr>
        <w:ind w:firstLine="640" w:firstLineChars="200"/>
        <w:rPr>
          <w:rFonts w:ascii="仿宋" w:hAnsi="仿宋" w:eastAsia="仿宋" w:cs="Times New Roman"/>
          <w:sz w:val="32"/>
          <w:szCs w:val="32"/>
        </w:rPr>
      </w:pPr>
      <w:r>
        <w:rPr>
          <w:rFonts w:ascii="仿宋" w:hAnsi="仿宋" w:eastAsia="仿宋" w:cs="Times New Roman"/>
          <w:sz w:val="32"/>
          <w:szCs w:val="32"/>
        </w:rPr>
        <w:t>6</w:t>
      </w:r>
      <w:r>
        <w:rPr>
          <w:rFonts w:hint="eastAsia" w:ascii="仿宋" w:hAnsi="仿宋" w:eastAsia="仿宋" w:cs="Times New Roman"/>
          <w:sz w:val="32"/>
          <w:szCs w:val="32"/>
        </w:rPr>
        <w:t>、为本会会员提供必要的证明，协调关系，为会员和民间企业调解经济纠纷。</w:t>
      </w:r>
    </w:p>
    <w:p>
      <w:pPr>
        <w:ind w:firstLine="640" w:firstLineChars="200"/>
        <w:rPr>
          <w:rFonts w:ascii="仿宋" w:hAnsi="仿宋" w:eastAsia="仿宋" w:cs="Times New Roman"/>
          <w:sz w:val="32"/>
          <w:szCs w:val="32"/>
        </w:rPr>
      </w:pPr>
      <w:r>
        <w:rPr>
          <w:rFonts w:ascii="仿宋" w:hAnsi="仿宋" w:eastAsia="仿宋" w:cs="Times New Roman"/>
          <w:sz w:val="32"/>
          <w:szCs w:val="32"/>
        </w:rPr>
        <w:t>7</w:t>
      </w:r>
      <w:r>
        <w:rPr>
          <w:rFonts w:hint="eastAsia" w:ascii="仿宋" w:hAnsi="仿宋" w:eastAsia="仿宋" w:cs="Times New Roman"/>
          <w:sz w:val="32"/>
          <w:szCs w:val="32"/>
        </w:rPr>
        <w:t>、增进与台、港、澳地区和世界各国工商社团的联系和友谊，协助引进资金、技术、人才。</w:t>
      </w:r>
    </w:p>
    <w:p>
      <w:pPr>
        <w:ind w:firstLine="640" w:firstLineChars="200"/>
        <w:rPr>
          <w:rFonts w:ascii="仿宋" w:hAnsi="仿宋" w:eastAsia="仿宋" w:cs="Times New Roman"/>
          <w:sz w:val="32"/>
          <w:szCs w:val="32"/>
        </w:rPr>
      </w:pPr>
      <w:r>
        <w:rPr>
          <w:rFonts w:ascii="仿宋" w:hAnsi="仿宋" w:eastAsia="仿宋" w:cs="Times New Roman"/>
          <w:sz w:val="32"/>
          <w:szCs w:val="32"/>
        </w:rPr>
        <w:t>8</w:t>
      </w:r>
      <w:r>
        <w:rPr>
          <w:rFonts w:hint="eastAsia" w:ascii="仿宋" w:hAnsi="仿宋" w:eastAsia="仿宋" w:cs="Times New Roman"/>
          <w:sz w:val="32"/>
          <w:szCs w:val="32"/>
        </w:rPr>
        <w:t>、承办县委、县政府和有关部门委托事项。</w:t>
      </w:r>
    </w:p>
    <w:p>
      <w:pPr>
        <w:ind w:firstLine="643" w:firstLineChars="200"/>
        <w:rPr>
          <w:rFonts w:ascii="仿宋" w:hAnsi="仿宋" w:eastAsia="仿宋" w:cs="Times New Roman"/>
          <w:sz w:val="32"/>
          <w:szCs w:val="24"/>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sz w:val="32"/>
          <w:szCs w:val="24"/>
        </w:rPr>
        <w:t>部门机构设置情况</w:t>
      </w:r>
    </w:p>
    <w:tbl>
      <w:tblPr>
        <w:tblStyle w:val="8"/>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香河县工商业联合会</w:t>
            </w:r>
          </w:p>
        </w:tc>
        <w:tc>
          <w:tcPr>
            <w:tcW w:w="1134"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902"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按照预算管理有关规定，目前我部门预算的编制实行综合预算制度，即全部收入和支出都反映在预算中。</w:t>
      </w:r>
      <w:r>
        <w:rPr>
          <w:rFonts w:hint="eastAsia" w:ascii="仿宋" w:hAnsi="仿宋" w:eastAsia="仿宋"/>
          <w:sz w:val="32"/>
          <w:szCs w:val="32"/>
        </w:rPr>
        <w:t>本单位无下属单位，</w:t>
      </w:r>
      <w:r>
        <w:rPr>
          <w:rFonts w:hint="eastAsia" w:ascii="仿宋" w:hAnsi="仿宋" w:eastAsia="仿宋" w:cs="Times New Roman"/>
          <w:sz w:val="32"/>
          <w:szCs w:val="32"/>
        </w:rPr>
        <w:t>只包括本单位预算，不包含下属单位预算在汇总预算中。</w:t>
      </w:r>
    </w:p>
    <w:p>
      <w:pPr>
        <w:ind w:firstLine="640"/>
        <w:rPr>
          <w:rFonts w:ascii="楷体" w:hAnsi="楷体" w:eastAsia="楷体" w:cs="Times New Roman"/>
          <w:b/>
          <w:sz w:val="32"/>
          <w:szCs w:val="32"/>
        </w:rPr>
      </w:pPr>
      <w:r>
        <w:rPr>
          <w:rFonts w:ascii="楷体" w:hAnsi="楷体" w:eastAsia="楷体" w:cs="Times New Roman"/>
          <w:b/>
          <w:sz w:val="32"/>
          <w:szCs w:val="32"/>
        </w:rPr>
        <w:t>1</w:t>
      </w:r>
      <w:r>
        <w:rPr>
          <w:rFonts w:hint="eastAsia" w:ascii="楷体" w:hAnsi="楷体" w:eastAsia="楷体" w:cs="Times New Roman"/>
          <w:b/>
          <w:sz w:val="32"/>
          <w:szCs w:val="32"/>
        </w:rPr>
        <w:t>、收入说明</w:t>
      </w:r>
    </w:p>
    <w:p>
      <w:pPr>
        <w:ind w:firstLine="640"/>
        <w:rPr>
          <w:rFonts w:ascii="仿宋" w:hAnsi="仿宋" w:eastAsia="仿宋" w:cs="Times New Roman"/>
          <w:sz w:val="32"/>
          <w:szCs w:val="32"/>
        </w:rPr>
      </w:pPr>
      <w:r>
        <w:rPr>
          <w:rFonts w:hint="eastAsia" w:ascii="仿宋" w:hAnsi="仿宋" w:eastAsia="仿宋" w:cs="Times New Roman"/>
          <w:sz w:val="32"/>
          <w:szCs w:val="32"/>
        </w:rPr>
        <w:t>反映本部门当年全部收入。</w:t>
      </w:r>
      <w:r>
        <w:rPr>
          <w:rFonts w:hint="eastAsia" w:ascii="仿宋" w:hAnsi="仿宋" w:eastAsia="仿宋" w:cs="Times New Roman"/>
          <w:sz w:val="32"/>
          <w:szCs w:val="32"/>
          <w:lang w:eastAsia="zh-CN"/>
        </w:rPr>
        <w:t>2019年</w:t>
      </w:r>
      <w:r>
        <w:rPr>
          <w:rFonts w:hint="eastAsia" w:ascii="仿宋" w:hAnsi="仿宋" w:eastAsia="仿宋" w:cs="Times New Roman"/>
          <w:sz w:val="32"/>
          <w:szCs w:val="32"/>
        </w:rPr>
        <w:t>预算收入总额</w:t>
      </w:r>
      <w:r>
        <w:rPr>
          <w:rFonts w:hint="eastAsia" w:ascii="仿宋" w:hAnsi="仿宋" w:eastAsia="仿宋" w:cs="Times New Roman"/>
          <w:sz w:val="32"/>
          <w:szCs w:val="32"/>
          <w:lang w:val="en-US" w:eastAsia="zh-CN"/>
        </w:rPr>
        <w:t>163.11</w:t>
      </w:r>
      <w:r>
        <w:rPr>
          <w:rFonts w:hint="eastAsia" w:ascii="仿宋" w:hAnsi="仿宋" w:eastAsia="仿宋" w:cs="Times New Roman"/>
          <w:sz w:val="32"/>
          <w:szCs w:val="32"/>
        </w:rPr>
        <w:t>万元，其中：财政拨款收入</w:t>
      </w:r>
      <w:r>
        <w:rPr>
          <w:rFonts w:hint="eastAsia" w:ascii="仿宋" w:hAnsi="仿宋" w:eastAsia="仿宋" w:cs="Times New Roman"/>
          <w:sz w:val="32"/>
          <w:szCs w:val="32"/>
          <w:lang w:val="en-US" w:eastAsia="zh-CN"/>
        </w:rPr>
        <w:t>163.11</w:t>
      </w:r>
      <w:r>
        <w:rPr>
          <w:rFonts w:hint="eastAsia" w:ascii="仿宋" w:hAnsi="仿宋" w:eastAsia="仿宋" w:cs="Times New Roman"/>
          <w:sz w:val="32"/>
          <w:szCs w:val="32"/>
        </w:rPr>
        <w:t>万元（包括一般公共预算</w:t>
      </w:r>
      <w:r>
        <w:rPr>
          <w:rFonts w:hint="eastAsia" w:ascii="仿宋" w:hAnsi="仿宋" w:eastAsia="仿宋" w:cs="Times New Roman"/>
          <w:sz w:val="32"/>
          <w:szCs w:val="32"/>
          <w:lang w:val="en-US" w:eastAsia="zh-CN"/>
        </w:rPr>
        <w:t>163.11</w:t>
      </w:r>
      <w:r>
        <w:rPr>
          <w:rFonts w:hint="eastAsia" w:ascii="仿宋" w:hAnsi="仿宋" w:eastAsia="仿宋" w:cs="Times New Roman"/>
          <w:sz w:val="32"/>
          <w:szCs w:val="32"/>
        </w:rPr>
        <w:t>万元、政府性基金预算</w:t>
      </w:r>
      <w:r>
        <w:rPr>
          <w:rFonts w:ascii="仿宋" w:hAnsi="仿宋" w:eastAsia="仿宋" w:cs="Times New Roman"/>
          <w:sz w:val="32"/>
          <w:szCs w:val="32"/>
        </w:rPr>
        <w:t>0</w:t>
      </w:r>
      <w:r>
        <w:rPr>
          <w:rFonts w:hint="eastAsia" w:ascii="仿宋" w:hAnsi="仿宋" w:eastAsia="仿宋" w:cs="Times New Roman"/>
          <w:sz w:val="32"/>
          <w:szCs w:val="32"/>
        </w:rPr>
        <w:t>万元、国有资本经营预算</w:t>
      </w:r>
      <w:r>
        <w:rPr>
          <w:rFonts w:ascii="仿宋" w:hAnsi="仿宋" w:eastAsia="仿宋" w:cs="Times New Roman"/>
          <w:sz w:val="32"/>
          <w:szCs w:val="32"/>
        </w:rPr>
        <w:t>0</w:t>
      </w:r>
      <w:r>
        <w:rPr>
          <w:rFonts w:hint="eastAsia" w:ascii="仿宋" w:hAnsi="仿宋" w:eastAsia="仿宋" w:cs="Times New Roman"/>
          <w:sz w:val="32"/>
          <w:szCs w:val="32"/>
        </w:rPr>
        <w:t>万元）、上级补助收入</w:t>
      </w:r>
      <w:r>
        <w:rPr>
          <w:rFonts w:ascii="仿宋" w:hAnsi="仿宋" w:eastAsia="仿宋" w:cs="Times New Roman"/>
          <w:sz w:val="32"/>
          <w:szCs w:val="32"/>
        </w:rPr>
        <w:t>0</w:t>
      </w:r>
      <w:r>
        <w:rPr>
          <w:rFonts w:hint="eastAsia" w:ascii="仿宋" w:hAnsi="仿宋" w:eastAsia="仿宋" w:cs="Times New Roman"/>
          <w:sz w:val="32"/>
          <w:szCs w:val="32"/>
        </w:rPr>
        <w:t>万元、事业收入</w:t>
      </w:r>
      <w:r>
        <w:rPr>
          <w:rFonts w:ascii="仿宋" w:hAnsi="仿宋" w:eastAsia="仿宋" w:cs="Times New Roman"/>
          <w:sz w:val="32"/>
          <w:szCs w:val="32"/>
        </w:rPr>
        <w:t>0</w:t>
      </w:r>
      <w:r>
        <w:rPr>
          <w:rFonts w:hint="eastAsia" w:ascii="仿宋" w:hAnsi="仿宋" w:eastAsia="仿宋" w:cs="Times New Roman"/>
          <w:sz w:val="32"/>
          <w:szCs w:val="32"/>
        </w:rPr>
        <w:t>万元、经营收入</w:t>
      </w:r>
      <w:r>
        <w:rPr>
          <w:rFonts w:ascii="仿宋" w:hAnsi="仿宋" w:eastAsia="仿宋" w:cs="Times New Roman"/>
          <w:sz w:val="32"/>
          <w:szCs w:val="32"/>
        </w:rPr>
        <w:t>0</w:t>
      </w:r>
      <w:r>
        <w:rPr>
          <w:rFonts w:hint="eastAsia" w:ascii="仿宋" w:hAnsi="仿宋" w:eastAsia="仿宋" w:cs="Times New Roman"/>
          <w:sz w:val="32"/>
          <w:szCs w:val="32"/>
        </w:rPr>
        <w:t>万元、附属单位上缴收入</w:t>
      </w:r>
      <w:r>
        <w:rPr>
          <w:rFonts w:ascii="仿宋" w:hAnsi="仿宋" w:eastAsia="仿宋" w:cs="Times New Roman"/>
          <w:sz w:val="32"/>
          <w:szCs w:val="32"/>
        </w:rPr>
        <w:t>0</w:t>
      </w:r>
      <w:r>
        <w:rPr>
          <w:rFonts w:hint="eastAsia" w:ascii="仿宋" w:hAnsi="仿宋" w:eastAsia="仿宋" w:cs="Times New Roman"/>
          <w:sz w:val="32"/>
          <w:szCs w:val="32"/>
        </w:rPr>
        <w:t>万元、其他收入</w:t>
      </w:r>
      <w:r>
        <w:rPr>
          <w:rFonts w:ascii="仿宋" w:hAnsi="仿宋" w:eastAsia="仿宋" w:cs="Times New Roman"/>
          <w:sz w:val="32"/>
          <w:szCs w:val="32"/>
        </w:rPr>
        <w:t>0</w:t>
      </w:r>
      <w:r>
        <w:rPr>
          <w:rFonts w:hint="eastAsia"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2</w:t>
      </w:r>
      <w:r>
        <w:rPr>
          <w:rFonts w:hint="eastAsia" w:ascii="楷体" w:hAnsi="楷体" w:eastAsia="楷体" w:cs="Times New Roman"/>
          <w:b/>
          <w:sz w:val="32"/>
          <w:szCs w:val="32"/>
        </w:rPr>
        <w:t>、支出说明</w:t>
      </w:r>
    </w:p>
    <w:p>
      <w:pPr>
        <w:ind w:firstLine="640"/>
        <w:rPr>
          <w:rFonts w:ascii="仿宋" w:hAnsi="仿宋" w:eastAsia="仿宋" w:cs="Times New Roman"/>
          <w:sz w:val="32"/>
          <w:szCs w:val="32"/>
        </w:rPr>
      </w:pPr>
      <w:r>
        <w:rPr>
          <w:rFonts w:hint="eastAsia" w:ascii="仿宋" w:hAnsi="仿宋" w:eastAsia="仿宋" w:cs="Times New Roman"/>
          <w:sz w:val="32"/>
          <w:szCs w:val="32"/>
        </w:rPr>
        <w:t>收支预算总表支出栏、基本支出表、项目支出表按经济分类和支出功能分类科目编制，反映香河县工商业联合会年度部门预算中支出预算的总体情况。</w:t>
      </w:r>
      <w:r>
        <w:rPr>
          <w:rFonts w:hint="eastAsia" w:ascii="仿宋" w:hAnsi="仿宋" w:eastAsia="仿宋" w:cs="Times New Roman"/>
          <w:sz w:val="32"/>
          <w:szCs w:val="32"/>
          <w:lang w:eastAsia="zh-CN"/>
        </w:rPr>
        <w:t>2019年</w:t>
      </w:r>
      <w:r>
        <w:rPr>
          <w:rFonts w:hint="eastAsia" w:ascii="仿宋" w:hAnsi="仿宋" w:eastAsia="仿宋" w:cs="Times New Roman"/>
          <w:sz w:val="32"/>
          <w:szCs w:val="32"/>
        </w:rPr>
        <w:t>支出预算</w:t>
      </w:r>
      <w:r>
        <w:rPr>
          <w:rFonts w:hint="eastAsia" w:ascii="仿宋" w:hAnsi="仿宋" w:eastAsia="仿宋" w:cs="Times New Roman"/>
          <w:sz w:val="32"/>
          <w:szCs w:val="32"/>
          <w:lang w:val="en-US" w:eastAsia="zh-CN"/>
        </w:rPr>
        <w:t>163.11</w:t>
      </w:r>
      <w:r>
        <w:rPr>
          <w:rFonts w:hint="eastAsia" w:ascii="仿宋" w:hAnsi="仿宋" w:eastAsia="仿宋" w:cs="Times New Roman"/>
          <w:sz w:val="32"/>
          <w:szCs w:val="32"/>
        </w:rPr>
        <w:t>万元，其中基本支出</w:t>
      </w:r>
      <w:r>
        <w:rPr>
          <w:rFonts w:hint="eastAsia" w:ascii="仿宋" w:hAnsi="仿宋" w:eastAsia="仿宋" w:cs="Times New Roman"/>
          <w:sz w:val="32"/>
          <w:szCs w:val="32"/>
          <w:lang w:val="en-US" w:eastAsia="zh-CN"/>
        </w:rPr>
        <w:t>151.11</w:t>
      </w:r>
      <w:r>
        <w:rPr>
          <w:rFonts w:hint="eastAsia" w:ascii="仿宋" w:hAnsi="仿宋" w:eastAsia="仿宋" w:cs="Times New Roman"/>
          <w:sz w:val="32"/>
          <w:szCs w:val="32"/>
        </w:rPr>
        <w:t>万元，包括人员经费</w:t>
      </w:r>
      <w:r>
        <w:rPr>
          <w:rFonts w:hint="eastAsia" w:ascii="仿宋" w:hAnsi="仿宋" w:eastAsia="仿宋" w:cs="Times New Roman"/>
          <w:sz w:val="32"/>
          <w:szCs w:val="32"/>
          <w:lang w:val="en-US" w:eastAsia="zh-CN"/>
        </w:rPr>
        <w:t>136.38万元</w:t>
      </w:r>
      <w:r>
        <w:rPr>
          <w:rFonts w:hint="eastAsia" w:ascii="仿宋" w:hAnsi="仿宋" w:eastAsia="仿宋" w:cs="Times New Roman"/>
          <w:sz w:val="32"/>
          <w:szCs w:val="32"/>
        </w:rPr>
        <w:t>和日常公用经费</w:t>
      </w:r>
      <w:r>
        <w:rPr>
          <w:rFonts w:hint="eastAsia" w:ascii="仿宋" w:hAnsi="仿宋" w:eastAsia="仿宋" w:cs="Times New Roman"/>
          <w:sz w:val="32"/>
          <w:szCs w:val="32"/>
          <w:lang w:val="en-US" w:eastAsia="zh-CN"/>
        </w:rPr>
        <w:t>14.73万元</w:t>
      </w:r>
      <w:r>
        <w:rPr>
          <w:rFonts w:hint="eastAsia" w:ascii="仿宋" w:hAnsi="仿宋" w:eastAsia="仿宋" w:cs="Times New Roman"/>
          <w:sz w:val="32"/>
          <w:szCs w:val="32"/>
        </w:rPr>
        <w:t>；项目支出</w:t>
      </w:r>
      <w:r>
        <w:rPr>
          <w:rFonts w:ascii="仿宋" w:hAnsi="仿宋" w:eastAsia="仿宋" w:cs="Times New Roman"/>
          <w:sz w:val="32"/>
          <w:szCs w:val="32"/>
        </w:rPr>
        <w:t>12</w:t>
      </w:r>
      <w:r>
        <w:rPr>
          <w:rFonts w:hint="eastAsia" w:ascii="仿宋" w:hAnsi="仿宋" w:eastAsia="仿宋" w:cs="Times New Roman"/>
          <w:sz w:val="32"/>
          <w:szCs w:val="32"/>
        </w:rPr>
        <w:t>万元，包括本级支出</w:t>
      </w:r>
      <w:r>
        <w:rPr>
          <w:rFonts w:ascii="仿宋" w:hAnsi="仿宋" w:eastAsia="仿宋" w:cs="Times New Roman"/>
          <w:sz w:val="32"/>
          <w:szCs w:val="32"/>
        </w:rPr>
        <w:t>12</w:t>
      </w:r>
      <w:r>
        <w:rPr>
          <w:rFonts w:hint="eastAsia" w:ascii="仿宋" w:hAnsi="仿宋" w:eastAsia="仿宋" w:cs="Times New Roman"/>
          <w:sz w:val="32"/>
          <w:szCs w:val="32"/>
        </w:rPr>
        <w:t>万元和对下补助支出</w:t>
      </w:r>
      <w:r>
        <w:rPr>
          <w:rFonts w:ascii="仿宋" w:hAnsi="仿宋" w:eastAsia="仿宋" w:cs="Times New Roman"/>
          <w:sz w:val="32"/>
          <w:szCs w:val="32"/>
        </w:rPr>
        <w:t>0</w:t>
      </w:r>
      <w:r>
        <w:rPr>
          <w:rFonts w:hint="eastAsia" w:ascii="仿宋" w:hAnsi="仿宋" w:eastAsia="仿宋" w:cs="Times New Roman"/>
          <w:sz w:val="32"/>
          <w:szCs w:val="32"/>
        </w:rPr>
        <w:t>万元，主要为会员服务、日常运行业务经费等；上缴上级支出</w:t>
      </w:r>
      <w:r>
        <w:rPr>
          <w:rFonts w:ascii="仿宋" w:hAnsi="仿宋" w:eastAsia="仿宋" w:cs="Times New Roman"/>
          <w:sz w:val="32"/>
          <w:szCs w:val="32"/>
        </w:rPr>
        <w:t>0</w:t>
      </w:r>
      <w:r>
        <w:rPr>
          <w:rFonts w:hint="eastAsia" w:ascii="仿宋" w:hAnsi="仿宋" w:eastAsia="仿宋" w:cs="Times New Roman"/>
          <w:sz w:val="32"/>
          <w:szCs w:val="32"/>
        </w:rPr>
        <w:t>万元；其他支出</w:t>
      </w:r>
      <w:r>
        <w:rPr>
          <w:rFonts w:ascii="仿宋" w:hAnsi="仿宋" w:eastAsia="仿宋" w:cs="Times New Roman"/>
          <w:sz w:val="32"/>
          <w:szCs w:val="32"/>
        </w:rPr>
        <w:t>0</w:t>
      </w:r>
      <w:r>
        <w:rPr>
          <w:rFonts w:hint="eastAsia"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3</w:t>
      </w:r>
      <w:r>
        <w:rPr>
          <w:rFonts w:hint="eastAsia" w:ascii="楷体" w:hAnsi="楷体" w:eastAsia="楷体" w:cs="Times New Roman"/>
          <w:b/>
          <w:sz w:val="32"/>
          <w:szCs w:val="32"/>
        </w:rPr>
        <w:t>、比上年增减情况</w:t>
      </w:r>
    </w:p>
    <w:p>
      <w:pPr>
        <w:ind w:firstLine="640"/>
        <w:rPr>
          <w:rFonts w:ascii="仿宋" w:hAnsi="仿宋" w:eastAsia="仿宋" w:cs="Times New Roman"/>
          <w:sz w:val="32"/>
          <w:szCs w:val="32"/>
        </w:rPr>
      </w:pPr>
      <w:r>
        <w:rPr>
          <w:rFonts w:hint="eastAsia" w:ascii="仿宋" w:hAnsi="仿宋" w:eastAsia="仿宋" w:cs="Times New Roman"/>
          <w:sz w:val="32"/>
          <w:szCs w:val="32"/>
          <w:lang w:eastAsia="zh-CN"/>
        </w:rPr>
        <w:t>2019年</w:t>
      </w:r>
      <w:r>
        <w:rPr>
          <w:rFonts w:hint="eastAsia" w:ascii="仿宋" w:hAnsi="仿宋" w:eastAsia="仿宋" w:cs="Times New Roman"/>
          <w:sz w:val="32"/>
          <w:szCs w:val="32"/>
        </w:rPr>
        <w:t>预算收支安排</w:t>
      </w:r>
      <w:r>
        <w:rPr>
          <w:rFonts w:hint="eastAsia" w:ascii="仿宋" w:hAnsi="仿宋" w:eastAsia="仿宋" w:cs="Times New Roman"/>
          <w:sz w:val="32"/>
          <w:szCs w:val="32"/>
          <w:lang w:val="en-US" w:eastAsia="zh-CN"/>
        </w:rPr>
        <w:t>163.11</w:t>
      </w:r>
      <w:r>
        <w:rPr>
          <w:rFonts w:hint="eastAsia" w:ascii="仿宋" w:hAnsi="仿宋" w:eastAsia="仿宋" w:cs="Times New Roman"/>
          <w:sz w:val="32"/>
          <w:szCs w:val="32"/>
        </w:rPr>
        <w:t>万元，较</w:t>
      </w:r>
      <w:r>
        <w:rPr>
          <w:rFonts w:ascii="仿宋" w:hAnsi="仿宋" w:eastAsia="仿宋" w:cs="Times New Roman"/>
          <w:sz w:val="32"/>
          <w:szCs w:val="32"/>
        </w:rPr>
        <w:t>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年预算增加</w:t>
      </w:r>
      <w:r>
        <w:rPr>
          <w:rFonts w:hint="eastAsia" w:ascii="仿宋" w:hAnsi="仿宋" w:eastAsia="仿宋" w:cs="Times New Roman"/>
          <w:sz w:val="32"/>
          <w:szCs w:val="32"/>
          <w:lang w:val="en-US" w:eastAsia="zh-CN"/>
        </w:rPr>
        <w:t>3.08</w:t>
      </w:r>
      <w:r>
        <w:rPr>
          <w:rFonts w:hint="eastAsia" w:ascii="仿宋" w:hAnsi="仿宋" w:eastAsia="仿宋" w:cs="Times New Roman"/>
          <w:sz w:val="32"/>
          <w:szCs w:val="32"/>
        </w:rPr>
        <w:t>万元，其中：基本支出增加</w:t>
      </w:r>
      <w:r>
        <w:rPr>
          <w:rFonts w:hint="eastAsia" w:ascii="仿宋" w:hAnsi="仿宋" w:eastAsia="仿宋" w:cs="Times New Roman"/>
          <w:sz w:val="32"/>
          <w:szCs w:val="32"/>
          <w:lang w:val="en-US" w:eastAsia="zh-CN"/>
        </w:rPr>
        <w:t>3.08</w:t>
      </w:r>
      <w:r>
        <w:rPr>
          <w:rFonts w:hint="eastAsia" w:ascii="仿宋" w:hAnsi="仿宋" w:eastAsia="仿宋" w:cs="Times New Roman"/>
          <w:sz w:val="32"/>
          <w:szCs w:val="32"/>
        </w:rPr>
        <w:t>万元，主要为增加人员经费支出。项目支出增加</w:t>
      </w:r>
      <w:r>
        <w:rPr>
          <w:rFonts w:ascii="仿宋" w:hAnsi="仿宋" w:eastAsia="仿宋" w:cs="Times New Roman"/>
          <w:sz w:val="32"/>
          <w:szCs w:val="32"/>
        </w:rPr>
        <w:t>0</w:t>
      </w:r>
      <w:r>
        <w:rPr>
          <w:rFonts w:hint="eastAsia" w:ascii="仿宋" w:hAnsi="仿宋" w:eastAsia="仿宋" w:cs="Times New Roman"/>
          <w:sz w:val="32"/>
          <w:szCs w:val="32"/>
        </w:rPr>
        <w:t>万元。</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14.73</w:t>
      </w:r>
      <w:r>
        <w:rPr>
          <w:rFonts w:hint="eastAsia" w:ascii="仿宋" w:hAnsi="仿宋" w:eastAsia="仿宋" w:cs="Times New Roman"/>
          <w:sz w:val="32"/>
          <w:szCs w:val="32"/>
        </w:rPr>
        <w:t>万元，主要用于办公区的日常维修、办公用房水电费、办公用房取暖费、办公用房物业管理费等日常运行支出。</w:t>
      </w:r>
    </w:p>
    <w:p>
      <w:pPr>
        <w:numPr>
          <w:ilvl w:val="0"/>
          <w:numId w:val="1"/>
        </w:numPr>
        <w:ind w:firstLine="640"/>
        <w:rPr>
          <w:rFonts w:ascii="黑体" w:hAnsi="黑体" w:eastAsia="黑体" w:cs="Times New Roman"/>
          <w:sz w:val="32"/>
          <w:szCs w:val="32"/>
        </w:rPr>
      </w:pPr>
      <w:r>
        <w:rPr>
          <w:rFonts w:hint="eastAsia" w:ascii="黑体" w:hAnsi="黑体" w:eastAsia="黑体" w:cs="Times New Roman"/>
          <w:sz w:val="32"/>
          <w:szCs w:val="32"/>
        </w:rPr>
        <w:t>财政拨款“三公”经费预算情况及增减变化原因</w:t>
      </w:r>
    </w:p>
    <w:p>
      <w:pPr>
        <w:pStyle w:val="13"/>
        <w:autoSpaceDE w:val="0"/>
        <w:autoSpaceDN w:val="0"/>
        <w:adjustRightInd w:val="0"/>
        <w:ind w:left="420" w:firstLine="480" w:firstLineChars="150"/>
        <w:jc w:val="left"/>
        <w:rPr>
          <w:rFonts w:ascii="仿宋" w:hAnsi="仿宋" w:eastAsia="仿宋" w:cs="Times New Roman"/>
          <w:sz w:val="32"/>
          <w:szCs w:val="32"/>
        </w:rPr>
      </w:pPr>
      <w:r>
        <w:rPr>
          <w:rFonts w:hint="eastAsia" w:ascii="仿宋" w:hAnsi="仿宋" w:eastAsia="仿宋" w:cs="Times New Roman"/>
          <w:sz w:val="32"/>
          <w:szCs w:val="32"/>
          <w:lang w:eastAsia="zh-CN"/>
        </w:rPr>
        <w:t>2019年</w:t>
      </w:r>
      <w:r>
        <w:rPr>
          <w:rFonts w:hint="eastAsia" w:ascii="仿宋" w:hAnsi="仿宋" w:eastAsia="仿宋" w:cs="Times New Roman"/>
          <w:sz w:val="32"/>
          <w:szCs w:val="32"/>
        </w:rPr>
        <w:t>，本部门</w:t>
      </w:r>
      <w:r>
        <w:rPr>
          <w:rFonts w:ascii="仿宋" w:hAnsi="仿宋" w:eastAsia="仿宋" w:cs="Times New Roman"/>
          <w:sz w:val="32"/>
          <w:szCs w:val="32"/>
        </w:rPr>
        <w:t xml:space="preserve"> </w:t>
      </w:r>
      <w:r>
        <w:rPr>
          <w:rFonts w:hint="eastAsia" w:ascii="仿宋" w:hAnsi="仿宋" w:eastAsia="仿宋" w:cs="Times New Roman"/>
          <w:sz w:val="32"/>
          <w:szCs w:val="32"/>
        </w:rPr>
        <w:t>“三公”经费预算安排</w:t>
      </w:r>
      <w:r>
        <w:rPr>
          <w:rFonts w:ascii="仿宋" w:hAnsi="仿宋" w:eastAsia="仿宋" w:cs="Times New Roman"/>
          <w:sz w:val="32"/>
          <w:szCs w:val="32"/>
        </w:rPr>
        <w:t>0</w:t>
      </w:r>
      <w:r>
        <w:rPr>
          <w:rFonts w:hint="eastAsia"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ascii="仿宋" w:hAnsi="仿宋" w:eastAsia="仿宋" w:cs="Times New Roman"/>
          <w:sz w:val="32"/>
          <w:szCs w:val="32"/>
        </w:rPr>
        <w:t>0</w:t>
      </w:r>
      <w:r>
        <w:rPr>
          <w:rFonts w:hint="eastAsia" w:ascii="仿宋" w:hAnsi="仿宋" w:eastAsia="仿宋" w:cs="Times New Roman"/>
          <w:sz w:val="32"/>
          <w:szCs w:val="32"/>
        </w:rPr>
        <w:t>万元、政府性基金预算</w:t>
      </w:r>
      <w:r>
        <w:rPr>
          <w:rFonts w:ascii="仿宋" w:hAnsi="仿宋" w:eastAsia="仿宋" w:cs="Times New Roman"/>
          <w:sz w:val="32"/>
          <w:szCs w:val="32"/>
        </w:rPr>
        <w:t>0</w:t>
      </w:r>
      <w:r>
        <w:rPr>
          <w:rFonts w:hint="eastAsia" w:ascii="仿宋" w:hAnsi="仿宋" w:eastAsia="仿宋" w:cs="Times New Roman"/>
          <w:sz w:val="32"/>
          <w:szCs w:val="32"/>
        </w:rPr>
        <w:t>万元、国有资本经营预算</w:t>
      </w:r>
      <w:r>
        <w:rPr>
          <w:rFonts w:ascii="仿宋" w:hAnsi="仿宋" w:eastAsia="仿宋" w:cs="Times New Roman"/>
          <w:sz w:val="32"/>
          <w:szCs w:val="32"/>
        </w:rPr>
        <w:t>0</w:t>
      </w:r>
      <w:r>
        <w:rPr>
          <w:rFonts w:hint="eastAsia" w:ascii="仿宋" w:hAnsi="仿宋" w:eastAsia="仿宋" w:cs="Times New Roman"/>
          <w:sz w:val="32"/>
          <w:szCs w:val="32"/>
        </w:rPr>
        <w:t>万元和财政专户核拨资金</w:t>
      </w:r>
      <w:r>
        <w:rPr>
          <w:rFonts w:ascii="仿宋" w:hAnsi="仿宋" w:eastAsia="仿宋" w:cs="Times New Roman"/>
          <w:sz w:val="32"/>
          <w:szCs w:val="32"/>
        </w:rPr>
        <w:t>0</w:t>
      </w:r>
      <w:r>
        <w:rPr>
          <w:rFonts w:hint="eastAsia"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，其中因公出国（境）费</w:t>
      </w:r>
      <w:r>
        <w:rPr>
          <w:rFonts w:ascii="仿宋" w:hAnsi="仿宋" w:eastAsia="仿宋" w:cs="Times New Roman"/>
          <w:sz w:val="32"/>
          <w:szCs w:val="32"/>
        </w:rPr>
        <w:t>0</w:t>
      </w:r>
      <w:r>
        <w:rPr>
          <w:rFonts w:hint="eastAsia" w:ascii="仿宋" w:hAnsi="仿宋" w:eastAsia="仿宋" w:cs="Times New Roman"/>
          <w:sz w:val="32"/>
          <w:szCs w:val="32"/>
        </w:rPr>
        <w:t>万元，与</w:t>
      </w:r>
      <w:r>
        <w:rPr>
          <w:rFonts w:ascii="仿宋" w:hAnsi="仿宋" w:eastAsia="仿宋" w:cs="Times New Roman"/>
          <w:sz w:val="32"/>
          <w:szCs w:val="32"/>
        </w:rPr>
        <w:t>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年持平，无增减变化；公务用车购置及运维费</w:t>
      </w:r>
      <w:r>
        <w:rPr>
          <w:rFonts w:ascii="仿宋" w:hAnsi="仿宋" w:eastAsia="仿宋" w:cs="Times New Roman"/>
          <w:sz w:val="32"/>
          <w:szCs w:val="32"/>
        </w:rPr>
        <w:t>0</w:t>
      </w:r>
      <w:r>
        <w:rPr>
          <w:rFonts w:hint="eastAsia" w:ascii="仿宋" w:hAnsi="仿宋" w:eastAsia="仿宋" w:cs="Times New Roman"/>
          <w:sz w:val="32"/>
          <w:szCs w:val="32"/>
        </w:rPr>
        <w:t>万元（其中：公务用车购置费为</w:t>
      </w:r>
      <w:r>
        <w:rPr>
          <w:rFonts w:ascii="仿宋" w:hAnsi="仿宋" w:eastAsia="仿宋" w:cs="Times New Roman"/>
          <w:sz w:val="32"/>
          <w:szCs w:val="32"/>
        </w:rPr>
        <w:t>0</w:t>
      </w:r>
      <w:r>
        <w:rPr>
          <w:rFonts w:hint="eastAsia" w:ascii="仿宋" w:hAnsi="仿宋" w:eastAsia="仿宋" w:cs="Times New Roman"/>
          <w:sz w:val="32"/>
          <w:szCs w:val="32"/>
        </w:rPr>
        <w:t>万元，公务用车运行费</w:t>
      </w:r>
      <w:r>
        <w:rPr>
          <w:rFonts w:ascii="仿宋" w:hAnsi="仿宋" w:eastAsia="仿宋" w:cs="Times New Roman"/>
          <w:sz w:val="32"/>
          <w:szCs w:val="32"/>
        </w:rPr>
        <w:t>0</w:t>
      </w:r>
      <w:r>
        <w:rPr>
          <w:rFonts w:hint="eastAsia" w:ascii="仿宋" w:hAnsi="仿宋" w:eastAsia="仿宋" w:cs="Times New Roman"/>
          <w:sz w:val="32"/>
          <w:szCs w:val="32"/>
        </w:rPr>
        <w:t>万元</w:t>
      </w:r>
      <w:r>
        <w:rPr>
          <w:rFonts w:ascii="仿宋" w:hAnsi="仿宋" w:eastAsia="仿宋" w:cs="Times New Roman"/>
          <w:sz w:val="32"/>
          <w:szCs w:val="32"/>
        </w:rPr>
        <w:t>)</w:t>
      </w:r>
      <w:r>
        <w:rPr>
          <w:rFonts w:hint="eastAsia" w:ascii="仿宋" w:hAnsi="仿宋" w:eastAsia="仿宋" w:cs="Times New Roman"/>
          <w:sz w:val="32"/>
          <w:szCs w:val="32"/>
        </w:rPr>
        <w:t>，与</w:t>
      </w:r>
      <w:r>
        <w:rPr>
          <w:rFonts w:ascii="仿宋" w:hAnsi="仿宋" w:eastAsia="仿宋" w:cs="Times New Roman"/>
          <w:sz w:val="32"/>
          <w:szCs w:val="32"/>
        </w:rPr>
        <w:t>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年持平，无增减变化；公务接待费</w:t>
      </w:r>
      <w:r>
        <w:rPr>
          <w:rFonts w:ascii="仿宋" w:hAnsi="仿宋" w:eastAsia="仿宋" w:cs="Times New Roman"/>
          <w:sz w:val="32"/>
          <w:szCs w:val="32"/>
        </w:rPr>
        <w:t>0</w:t>
      </w:r>
      <w:r>
        <w:rPr>
          <w:rFonts w:hint="eastAsia" w:ascii="仿宋" w:hAnsi="仿宋" w:eastAsia="仿宋" w:cs="Times New Roman"/>
          <w:sz w:val="32"/>
          <w:szCs w:val="32"/>
        </w:rPr>
        <w:t>万元，与</w:t>
      </w:r>
      <w:r>
        <w:rPr>
          <w:rFonts w:ascii="仿宋" w:hAnsi="仿宋" w:eastAsia="仿宋" w:cs="Times New Roman"/>
          <w:sz w:val="32"/>
          <w:szCs w:val="32"/>
        </w:rPr>
        <w:t>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年持平，无增减变化。</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宋体" w:cs="Times New Roman"/>
          <w:b/>
          <w:sz w:val="32"/>
          <w:szCs w:val="32"/>
        </w:rPr>
      </w:pPr>
      <w:bookmarkStart w:id="0" w:name="_Toc471398463"/>
      <w:r>
        <w:rPr>
          <w:rFonts w:hint="eastAsia" w:ascii="宋体" w:hAnsi="宋体" w:cs="Times New Roman"/>
          <w:b/>
          <w:sz w:val="32"/>
          <w:szCs w:val="32"/>
        </w:rPr>
        <w:t>总体绩效目标：</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、增强组织凝聚力和社会影响力，提升参政议政水平。组织经贸洽谈、招商引资等经济活动，助力县域经济发展。</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、提升参政议政水平，为社会发展建言献策。</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、引导会员积极承担社会责任，热心公益事业发挥工商联在政府管理和服务非公有制经济中的助手作用，助力县域经济发展</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、发展工商联会员、指导基层工商联组织建设；组织培训、思想政治教育，对非公有制经济优秀事迹进行宣传等事项。</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rPr>
        <w:t>、指导全县各级组织建设。提升民营企业家素质，推进民营企业文化建设，提升工商联工作影响力。</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6</w:t>
      </w:r>
      <w:r>
        <w:rPr>
          <w:rFonts w:hint="eastAsia" w:ascii="仿宋" w:hAnsi="仿宋" w:eastAsia="仿宋" w:cs="Times New Roman"/>
          <w:sz w:val="32"/>
          <w:szCs w:val="32"/>
        </w:rPr>
        <w:t>、保障工商联各项工作顺利开展</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7</w:t>
      </w:r>
      <w:r>
        <w:rPr>
          <w:rFonts w:hint="eastAsia" w:ascii="仿宋" w:hAnsi="仿宋" w:eastAsia="仿宋" w:cs="Times New Roman"/>
          <w:sz w:val="32"/>
          <w:szCs w:val="32"/>
        </w:rPr>
        <w:t>、保证工商联日常工作正常运转</w:t>
      </w:r>
      <w:bookmarkStart w:id="2" w:name="_GoBack"/>
      <w:bookmarkEnd w:id="2"/>
    </w:p>
    <w:p>
      <w:pPr>
        <w:jc w:val="left"/>
        <w:rPr>
          <w:rFonts w:ascii="方正书宋_GBK" w:hAnsi="Times New Roman" w:eastAsia="方正书宋_GBK" w:cs="Times New Roman"/>
          <w:sz w:val="18"/>
          <w:szCs w:val="18"/>
        </w:rPr>
      </w:pPr>
    </w:p>
    <w:p>
      <w:pPr>
        <w:ind w:firstLine="643" w:firstLineChars="200"/>
        <w:jc w:val="left"/>
        <w:outlineLvl w:val="0"/>
        <w:rPr>
          <w:rFonts w:ascii="方正小标宋_GBK" w:hAnsi="Times New Roman" w:eastAsia="方正小标宋_GBK" w:cs="Times New Roman"/>
          <w:sz w:val="32"/>
          <w:szCs w:val="24"/>
        </w:rPr>
      </w:pPr>
      <w:r>
        <w:rPr>
          <w:rFonts w:hint="eastAsia" w:ascii="宋体" w:hAnsi="宋体"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w:t>
      </w:r>
      <w:r>
        <w:rPr>
          <w:rFonts w:ascii="方正小标宋_GBK" w:hAnsi="Times New Roman" w:eastAsia="方正小标宋_GBK" w:cs="Times New Roman"/>
          <w:sz w:val="32"/>
          <w:szCs w:val="24"/>
        </w:rPr>
        <w:t>-</w:t>
      </w:r>
      <w:r>
        <w:rPr>
          <w:rFonts w:hint="eastAsia" w:ascii="方正小标宋_GBK" w:hAnsi="Times New Roman" w:eastAsia="方正小标宋_GBK" w:cs="Times New Roman"/>
          <w:sz w:val="32"/>
          <w:szCs w:val="24"/>
        </w:rPr>
        <w:t>工作活动绩效目标</w:t>
      </w:r>
      <w:bookmarkEnd w:id="0"/>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cs="Times New Roman"/>
                <w:sz w:val="18"/>
                <w:szCs w:val="18"/>
              </w:rPr>
            </w:pPr>
            <w:r>
              <w:rPr>
                <w:rFonts w:ascii="方正小标宋_GBK" w:hAnsi="Times New Roman" w:eastAsia="方正小标宋_GBK" w:cs="Times New Roman"/>
                <w:sz w:val="18"/>
                <w:szCs w:val="18"/>
              </w:rPr>
              <w:t>714</w:t>
            </w:r>
            <w:r>
              <w:rPr>
                <w:rFonts w:hint="eastAsia" w:ascii="方正小标宋_GBK" w:hAnsi="Times New Roman" w:eastAsia="方正小标宋_GBK" w:cs="Times New Roman"/>
                <w:sz w:val="18"/>
                <w:szCs w:val="18"/>
              </w:rPr>
              <w:t>香河县工商业联合会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一、参政议政</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参政议政、社会服务等事项</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增强组织凝聚力和社会影响力，提升参政议政水平。组织经贸洽谈、招商引资等经济活动，助力县域经济发展。</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、参政议政</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组织开展调研，向县政协提交大会发言和集体提案，反映社情民意，与县政府对口单位紧密联系。开展各种活动及相关会议</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提升参政议政水平，为社会发展建言献策。</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提交县政协大会集体提案</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提交调研报告数量</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、社会服务</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积极搭建服务平台，举办招商会、银企对接会、招商引资，民企活动及法律维权、科技进民企活动。加强与知名企业的合作交流。组织会员企业参与农村面貌改造提升行动、社会扶贫和公益事业。</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引导会员积极承担社会责任，热心公益事业发挥工商联在政府管理和服务非公有制经济中的助手作用，助力县域经济发展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组织招商引资活动次数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法律维权服务次数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银企对接会次数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二、组织建设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组织建设及宣传教育、培训等事项</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发展工商联会员、指导基层工商联组织建设；组织培训、思想政治教育，对非公有制经济优秀事迹进行宣传等事项。</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、组织建设及宣传教育、培训</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贯彻省市工商联组织建设工作方针，指导全县各级组织的建设，维护会员合法权益，组织换届、培训、思想教育和基层建设工作，对非公有制经济优秀事迹进行宣传。</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指导全县各级组织建设。提升民营企业家素质，推进民营企业文化建设，提升工商联工作影响力。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新会员培训率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新会员培训合格率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培训人次</w:t>
            </w:r>
            <w:r>
              <w:rPr>
                <w:rFonts w:ascii="方正书宋_GBK" w:eastAsia="方正书宋_GBK"/>
              </w:rPr>
              <w:t>(</w:t>
            </w:r>
            <w:r>
              <w:rPr>
                <w:rFonts w:hint="eastAsia" w:ascii="方正书宋_GBK" w:eastAsia="方正书宋_GBK"/>
              </w:rPr>
              <w:t>人）</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三、工商联事务管理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综合性事务管理等事项</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保障工商联各项工作顺利开展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档案、信息、机关各类会议、财务、机要、保密、安全保卫、固定资产、车辆等管理和后勤保障工作。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保证工商联日常工作正常运转</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numPr>
          <w:ilvl w:val="0"/>
          <w:numId w:val="2"/>
        </w:numPr>
        <w:ind w:firstLine="640"/>
        <w:rPr>
          <w:rFonts w:ascii="黑体" w:hAnsi="黑体" w:eastAsia="黑体" w:cs="Times New Roman"/>
          <w:sz w:val="32"/>
          <w:szCs w:val="32"/>
        </w:rPr>
      </w:pPr>
      <w:r>
        <w:rPr>
          <w:rFonts w:hint="eastAsia" w:ascii="黑体" w:hAnsi="黑体" w:eastAsia="黑体" w:cs="Times New Roman"/>
          <w:sz w:val="32"/>
          <w:szCs w:val="32"/>
        </w:rPr>
        <w:t>政府采购预算情况</w:t>
      </w:r>
      <w:bookmarkStart w:id="1" w:name="_Toc471398468"/>
    </w:p>
    <w:p>
      <w:pPr>
        <w:ind w:firstLine="648"/>
        <w:rPr>
          <w:rFonts w:ascii="仿宋" w:hAnsi="仿宋" w:eastAsia="仿宋" w:cs="Times New Roman"/>
          <w:sz w:val="32"/>
          <w:szCs w:val="32"/>
        </w:rPr>
      </w:pPr>
      <w:r>
        <w:rPr>
          <w:rFonts w:hint="eastAsia" w:ascii="仿宋" w:hAnsi="仿宋" w:eastAsia="仿宋" w:cs="Times New Roman"/>
          <w:sz w:val="32"/>
          <w:szCs w:val="32"/>
          <w:lang w:eastAsia="zh-CN"/>
        </w:rPr>
        <w:t>2019年</w:t>
      </w:r>
      <w:r>
        <w:rPr>
          <w:rFonts w:hint="eastAsia" w:ascii="仿宋" w:hAnsi="仿宋" w:eastAsia="仿宋" w:cs="Times New Roman"/>
          <w:sz w:val="32"/>
          <w:szCs w:val="32"/>
        </w:rPr>
        <w:t>，本部门没有安排政府采购预算。</w:t>
      </w:r>
    </w:p>
    <w:p>
      <w:pPr>
        <w:jc w:val="center"/>
        <w:outlineLvl w:val="0"/>
        <w:rPr>
          <w:rFonts w:ascii="宋体"/>
          <w:sz w:val="32"/>
          <w:szCs w:val="24"/>
        </w:rPr>
      </w:pPr>
      <w:r>
        <w:rPr>
          <w:rFonts w:hint="eastAsia" w:ascii="宋体" w:hAnsi="宋体"/>
          <w:sz w:val="32"/>
          <w:szCs w:val="24"/>
        </w:rPr>
        <w:t>部门政府采购预算</w:t>
      </w:r>
    </w:p>
    <w:tbl>
      <w:tblPr>
        <w:tblStyle w:val="8"/>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24"/>
                <w:szCs w:val="24"/>
              </w:rPr>
            </w:pPr>
            <w:r>
              <w:rPr>
                <w:rFonts w:ascii="方正小标宋_GBK" w:hAnsi="Times New Roman" w:eastAsia="方正小标宋_GBK" w:cs="Times New Roman"/>
                <w:sz w:val="18"/>
                <w:szCs w:val="18"/>
              </w:rPr>
              <w:t>714</w:t>
            </w:r>
            <w:r>
              <w:rPr>
                <w:rFonts w:hint="eastAsia" w:ascii="方正小标宋_GBK" w:hAnsi="Times New Roman" w:eastAsia="方正小标宋_GBK" w:cs="Times New Roman"/>
                <w:sz w:val="18"/>
                <w:szCs w:val="18"/>
              </w:rPr>
              <w:t>香河县工商业联合会</w:t>
            </w:r>
          </w:p>
        </w:tc>
        <w:tc>
          <w:tcPr>
            <w:tcW w:w="6103"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r>
              <w:rPr>
                <w:rFonts w:ascii="方正书宋_GBK" w:hAnsi="Times New Roman" w:eastAsia="方正书宋_GBK"/>
                <w:b/>
                <w:szCs w:val="24"/>
              </w:rPr>
              <w:t xml:space="preserve">  </w:t>
            </w:r>
            <w:r>
              <w:rPr>
                <w:rFonts w:hint="eastAsia" w:ascii="方正书宋_GBK" w:hAnsi="Times New Roman" w:eastAsia="方正书宋_GBK"/>
                <w:b/>
                <w:szCs w:val="24"/>
              </w:rPr>
              <w:t>单位</w:t>
            </w:r>
          </w:p>
        </w:tc>
        <w:tc>
          <w:tcPr>
            <w:tcW w:w="87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vAlign w:val="center"/>
          </w:tcPr>
          <w:p>
            <w:pPr>
              <w:spacing w:line="300" w:lineRule="exact"/>
              <w:jc w:val="left"/>
              <w:outlineLvl w:val="0"/>
              <w:rPr>
                <w:rFonts w:ascii="Times New Roman" w:hAnsi="Times New Roman"/>
                <w:szCs w:val="24"/>
              </w:rPr>
            </w:pPr>
          </w:p>
        </w:tc>
        <w:tc>
          <w:tcPr>
            <w:tcW w:w="1398"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902" w:type="dxa"/>
            <w:vMerge w:val="continue"/>
            <w:vAlign w:val="center"/>
          </w:tcPr>
          <w:p>
            <w:pPr>
              <w:spacing w:line="300" w:lineRule="exact"/>
              <w:jc w:val="left"/>
              <w:outlineLvl w:val="0"/>
              <w:rPr>
                <w:rFonts w:ascii="Times New Roman" w:hAnsi="Times New Roman"/>
                <w:szCs w:val="24"/>
              </w:rPr>
            </w:pPr>
          </w:p>
        </w:tc>
        <w:tc>
          <w:tcPr>
            <w:tcW w:w="89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vAlign w:val="center"/>
          </w:tcPr>
          <w:p>
            <w:pPr>
              <w:spacing w:line="300" w:lineRule="exact"/>
              <w:jc w:val="left"/>
              <w:outlineLvl w:val="0"/>
              <w:rPr>
                <w:rFonts w:ascii="Times New Roman" w:hAnsi="Times New Roman"/>
                <w:szCs w:val="24"/>
              </w:rPr>
            </w:pPr>
          </w:p>
        </w:tc>
        <w:tc>
          <w:tcPr>
            <w:tcW w:w="1066"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1398"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902" w:type="dxa"/>
            <w:vMerge w:val="continue"/>
            <w:vAlign w:val="center"/>
          </w:tcPr>
          <w:p>
            <w:pPr>
              <w:spacing w:line="300" w:lineRule="exact"/>
              <w:jc w:val="left"/>
              <w:outlineLvl w:val="0"/>
              <w:rPr>
                <w:rFonts w:ascii="Times New Roman" w:hAnsi="Times New Roman"/>
                <w:szCs w:val="24"/>
              </w:rPr>
            </w:pPr>
          </w:p>
        </w:tc>
        <w:tc>
          <w:tcPr>
            <w:tcW w:w="899" w:type="dxa"/>
            <w:vMerge w:val="continue"/>
            <w:vAlign w:val="center"/>
          </w:tcPr>
          <w:p>
            <w:pPr>
              <w:spacing w:line="300" w:lineRule="exact"/>
              <w:jc w:val="left"/>
              <w:outlineLvl w:val="0"/>
              <w:rPr>
                <w:rFonts w:ascii="Times New Roman" w:hAnsi="Times New Roman"/>
                <w:szCs w:val="24"/>
              </w:rPr>
            </w:pPr>
          </w:p>
        </w:tc>
        <w:tc>
          <w:tcPr>
            <w:tcW w:w="89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vAlign w:val="center"/>
          </w:tcPr>
          <w:p>
            <w:pPr>
              <w:spacing w:line="300" w:lineRule="exact"/>
              <w:jc w:val="righ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right"/>
              <w:rPr>
                <w:rFonts w:ascii="方正书宋_GBK" w:hAnsi="Times New Roman" w:eastAsia="方正书宋_GBK"/>
                <w:b/>
                <w:szCs w:val="24"/>
              </w:rPr>
            </w:pPr>
          </w:p>
        </w:tc>
        <w:tc>
          <w:tcPr>
            <w:tcW w:w="902"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18"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26"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center"/>
              <w:rPr>
                <w:rFonts w:ascii="方正书宋_GBK" w:hAnsi="Times New Roman" w:eastAsia="方正书宋_GBK"/>
                <w:b/>
                <w:szCs w:val="24"/>
              </w:rPr>
            </w:pPr>
          </w:p>
        </w:tc>
        <w:tc>
          <w:tcPr>
            <w:tcW w:w="1066" w:type="dxa"/>
            <w:vAlign w:val="center"/>
          </w:tcPr>
          <w:p>
            <w:pPr>
              <w:spacing w:line="300" w:lineRule="exact"/>
              <w:jc w:val="righ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right"/>
              <w:rPr>
                <w:rFonts w:ascii="方正书宋_GBK" w:hAnsi="Times New Roman" w:eastAsia="方正书宋_GBK"/>
                <w:b/>
                <w:szCs w:val="24"/>
              </w:rPr>
            </w:pPr>
          </w:p>
        </w:tc>
        <w:tc>
          <w:tcPr>
            <w:tcW w:w="902"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18"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26"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left"/>
              <w:rPr>
                <w:rFonts w:ascii="方正书宋_GBK" w:hAnsi="Times New Roman" w:eastAsia="方正书宋_GBK"/>
                <w:szCs w:val="24"/>
              </w:rPr>
            </w:pPr>
          </w:p>
        </w:tc>
        <w:tc>
          <w:tcPr>
            <w:tcW w:w="1066" w:type="dxa"/>
            <w:vAlign w:val="center"/>
          </w:tcPr>
          <w:p>
            <w:pPr>
              <w:spacing w:line="300" w:lineRule="exact"/>
              <w:jc w:val="right"/>
              <w:rPr>
                <w:rFonts w:ascii="方正书宋_GBK" w:hAnsi="Times New Roman" w:eastAsia="方正书宋_GBK"/>
                <w:szCs w:val="24"/>
              </w:rPr>
            </w:pPr>
          </w:p>
        </w:tc>
        <w:tc>
          <w:tcPr>
            <w:tcW w:w="879" w:type="dxa"/>
            <w:vAlign w:val="center"/>
          </w:tcPr>
          <w:p>
            <w:pPr>
              <w:spacing w:line="300" w:lineRule="exact"/>
              <w:jc w:val="left"/>
              <w:rPr>
                <w:rFonts w:ascii="方正书宋_GBK" w:hAnsi="Times New Roman" w:eastAsia="方正书宋_GBK"/>
                <w:szCs w:val="24"/>
              </w:rPr>
            </w:pPr>
          </w:p>
        </w:tc>
        <w:tc>
          <w:tcPr>
            <w:tcW w:w="1398" w:type="dxa"/>
            <w:vAlign w:val="center"/>
          </w:tcPr>
          <w:p>
            <w:pPr>
              <w:spacing w:line="300" w:lineRule="exact"/>
              <w:jc w:val="left"/>
              <w:rPr>
                <w:rFonts w:ascii="方正书宋_GBK" w:hAnsi="Times New Roman" w:eastAsia="方正书宋_GBK"/>
                <w:szCs w:val="24"/>
              </w:rPr>
            </w:pPr>
          </w:p>
        </w:tc>
        <w:tc>
          <w:tcPr>
            <w:tcW w:w="879" w:type="dxa"/>
            <w:vAlign w:val="center"/>
          </w:tcPr>
          <w:p>
            <w:pPr>
              <w:spacing w:line="300" w:lineRule="exact"/>
              <w:jc w:val="left"/>
              <w:rPr>
                <w:rFonts w:ascii="方正书宋_GBK" w:hAnsi="Times New Roman" w:eastAsia="方正书宋_GBK"/>
                <w:szCs w:val="24"/>
              </w:rPr>
            </w:pPr>
          </w:p>
        </w:tc>
        <w:tc>
          <w:tcPr>
            <w:tcW w:w="879" w:type="dxa"/>
            <w:vAlign w:val="center"/>
          </w:tcPr>
          <w:p>
            <w:pPr>
              <w:spacing w:line="300" w:lineRule="exact"/>
              <w:jc w:val="right"/>
              <w:rPr>
                <w:rFonts w:ascii="方正书宋_GBK" w:hAnsi="Times New Roman" w:eastAsia="方正书宋_GBK"/>
                <w:szCs w:val="24"/>
              </w:rPr>
            </w:pPr>
          </w:p>
        </w:tc>
        <w:tc>
          <w:tcPr>
            <w:tcW w:w="902" w:type="dxa"/>
            <w:vAlign w:val="center"/>
          </w:tcPr>
          <w:p>
            <w:pPr>
              <w:spacing w:line="300" w:lineRule="exact"/>
              <w:jc w:val="right"/>
              <w:rPr>
                <w:rFonts w:ascii="方正书宋_GBK" w:hAnsi="Times New Roman" w:eastAsia="方正书宋_GBK"/>
                <w:szCs w:val="24"/>
              </w:rPr>
            </w:pPr>
          </w:p>
        </w:tc>
        <w:tc>
          <w:tcPr>
            <w:tcW w:w="899" w:type="dxa"/>
            <w:vAlign w:val="center"/>
          </w:tcPr>
          <w:p>
            <w:pPr>
              <w:spacing w:line="300" w:lineRule="exact"/>
              <w:jc w:val="right"/>
              <w:rPr>
                <w:rFonts w:ascii="方正书宋_GBK" w:hAnsi="Times New Roman" w:eastAsia="方正书宋_GBK"/>
                <w:szCs w:val="24"/>
              </w:rPr>
            </w:pPr>
          </w:p>
        </w:tc>
        <w:tc>
          <w:tcPr>
            <w:tcW w:w="899" w:type="dxa"/>
            <w:vAlign w:val="center"/>
          </w:tcPr>
          <w:p>
            <w:pPr>
              <w:spacing w:line="300" w:lineRule="exact"/>
              <w:jc w:val="right"/>
              <w:rPr>
                <w:rFonts w:ascii="方正书宋_GBK" w:hAnsi="Times New Roman" w:eastAsia="方正书宋_GBK"/>
                <w:szCs w:val="24"/>
              </w:rPr>
            </w:pPr>
          </w:p>
        </w:tc>
        <w:tc>
          <w:tcPr>
            <w:tcW w:w="899" w:type="dxa"/>
            <w:vAlign w:val="center"/>
          </w:tcPr>
          <w:p>
            <w:pPr>
              <w:spacing w:line="300" w:lineRule="exact"/>
              <w:jc w:val="right"/>
              <w:rPr>
                <w:rFonts w:ascii="方正书宋_GBK" w:hAnsi="Times New Roman" w:eastAsia="方正书宋_GBK"/>
                <w:szCs w:val="24"/>
              </w:rPr>
            </w:pPr>
          </w:p>
        </w:tc>
        <w:tc>
          <w:tcPr>
            <w:tcW w:w="818"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26" w:type="dxa"/>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left"/>
              <w:rPr>
                <w:rFonts w:ascii="方正书宋_GBK" w:hAnsi="Times New Roman" w:eastAsia="方正书宋_GBK"/>
                <w:szCs w:val="24"/>
              </w:rPr>
            </w:pPr>
          </w:p>
        </w:tc>
        <w:tc>
          <w:tcPr>
            <w:tcW w:w="1066" w:type="dxa"/>
            <w:vAlign w:val="center"/>
          </w:tcPr>
          <w:p>
            <w:pPr>
              <w:spacing w:line="300" w:lineRule="exact"/>
              <w:jc w:val="right"/>
              <w:rPr>
                <w:rFonts w:ascii="方正书宋_GBK" w:hAnsi="Times New Roman" w:eastAsia="方正书宋_GBK"/>
                <w:szCs w:val="24"/>
              </w:rPr>
            </w:pPr>
          </w:p>
        </w:tc>
        <w:tc>
          <w:tcPr>
            <w:tcW w:w="879" w:type="dxa"/>
            <w:vAlign w:val="center"/>
          </w:tcPr>
          <w:p>
            <w:pPr>
              <w:spacing w:line="300" w:lineRule="exact"/>
              <w:jc w:val="left"/>
              <w:rPr>
                <w:rFonts w:ascii="方正书宋_GBK" w:hAnsi="Times New Roman" w:eastAsia="方正书宋_GBK"/>
                <w:szCs w:val="24"/>
              </w:rPr>
            </w:pPr>
          </w:p>
        </w:tc>
        <w:tc>
          <w:tcPr>
            <w:tcW w:w="1398" w:type="dxa"/>
            <w:vAlign w:val="center"/>
          </w:tcPr>
          <w:p>
            <w:pPr>
              <w:spacing w:line="300" w:lineRule="exact"/>
              <w:jc w:val="left"/>
              <w:rPr>
                <w:rFonts w:ascii="方正书宋_GBK" w:hAnsi="Times New Roman" w:eastAsia="方正书宋_GBK"/>
                <w:szCs w:val="24"/>
              </w:rPr>
            </w:pPr>
          </w:p>
        </w:tc>
        <w:tc>
          <w:tcPr>
            <w:tcW w:w="879" w:type="dxa"/>
            <w:vAlign w:val="center"/>
          </w:tcPr>
          <w:p>
            <w:pPr>
              <w:spacing w:line="300" w:lineRule="exact"/>
              <w:jc w:val="left"/>
              <w:rPr>
                <w:rFonts w:ascii="方正书宋_GBK" w:hAnsi="Times New Roman" w:eastAsia="方正书宋_GBK"/>
                <w:szCs w:val="24"/>
              </w:rPr>
            </w:pPr>
          </w:p>
        </w:tc>
        <w:tc>
          <w:tcPr>
            <w:tcW w:w="879" w:type="dxa"/>
            <w:vAlign w:val="center"/>
          </w:tcPr>
          <w:p>
            <w:pPr>
              <w:spacing w:line="300" w:lineRule="exact"/>
              <w:jc w:val="right"/>
              <w:rPr>
                <w:rFonts w:ascii="方正书宋_GBK" w:hAnsi="Times New Roman" w:eastAsia="方正书宋_GBK"/>
                <w:szCs w:val="24"/>
              </w:rPr>
            </w:pPr>
          </w:p>
        </w:tc>
        <w:tc>
          <w:tcPr>
            <w:tcW w:w="902" w:type="dxa"/>
            <w:vAlign w:val="center"/>
          </w:tcPr>
          <w:p>
            <w:pPr>
              <w:spacing w:line="300" w:lineRule="exact"/>
              <w:jc w:val="right"/>
              <w:rPr>
                <w:rFonts w:ascii="方正书宋_GBK" w:hAnsi="Times New Roman" w:eastAsia="方正书宋_GBK"/>
                <w:szCs w:val="24"/>
              </w:rPr>
            </w:pPr>
          </w:p>
        </w:tc>
        <w:tc>
          <w:tcPr>
            <w:tcW w:w="899" w:type="dxa"/>
            <w:vAlign w:val="center"/>
          </w:tcPr>
          <w:p>
            <w:pPr>
              <w:spacing w:line="300" w:lineRule="exact"/>
              <w:jc w:val="right"/>
              <w:rPr>
                <w:rFonts w:ascii="方正书宋_GBK" w:hAnsi="Times New Roman" w:eastAsia="方正书宋_GBK"/>
                <w:szCs w:val="24"/>
              </w:rPr>
            </w:pPr>
          </w:p>
        </w:tc>
        <w:tc>
          <w:tcPr>
            <w:tcW w:w="899" w:type="dxa"/>
            <w:vAlign w:val="center"/>
          </w:tcPr>
          <w:p>
            <w:pPr>
              <w:spacing w:line="300" w:lineRule="exact"/>
              <w:jc w:val="right"/>
              <w:rPr>
                <w:rFonts w:ascii="方正书宋_GBK" w:hAnsi="Times New Roman" w:eastAsia="方正书宋_GBK"/>
                <w:szCs w:val="24"/>
              </w:rPr>
            </w:pPr>
          </w:p>
        </w:tc>
        <w:tc>
          <w:tcPr>
            <w:tcW w:w="899" w:type="dxa"/>
            <w:vAlign w:val="center"/>
          </w:tcPr>
          <w:p>
            <w:pPr>
              <w:spacing w:line="300" w:lineRule="exact"/>
              <w:jc w:val="right"/>
              <w:rPr>
                <w:rFonts w:ascii="方正书宋_GBK" w:hAnsi="Times New Roman" w:eastAsia="方正书宋_GBK"/>
                <w:szCs w:val="24"/>
              </w:rPr>
            </w:pPr>
          </w:p>
        </w:tc>
        <w:tc>
          <w:tcPr>
            <w:tcW w:w="818"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26" w:type="dxa"/>
            <w:vAlign w:val="center"/>
          </w:tcPr>
          <w:p>
            <w:pPr>
              <w:spacing w:line="300" w:lineRule="exact"/>
              <w:jc w:val="right"/>
              <w:rPr>
                <w:rFonts w:ascii="方正书宋_GBK" w:hAnsi="Times New Roman" w:eastAsia="方正书宋_GBK"/>
                <w:szCs w:val="24"/>
              </w:rPr>
            </w:pPr>
          </w:p>
        </w:tc>
      </w:tr>
    </w:tbl>
    <w:p>
      <w:pPr>
        <w:pStyle w:val="2"/>
        <w:rPr>
          <w:rFonts w:hAnsi="宋体" w:cs="宋体"/>
        </w:rPr>
      </w:pPr>
    </w:p>
    <w:p>
      <w:pPr>
        <w:ind w:firstLine="648"/>
        <w:rPr>
          <w:rFonts w:ascii="仿宋" w:hAnsi="仿宋" w:eastAsia="仿宋" w:cs="Times New Roman"/>
          <w:sz w:val="32"/>
          <w:szCs w:val="32"/>
        </w:rPr>
      </w:pPr>
    </w:p>
    <w:bookmarkEnd w:id="1"/>
    <w:p>
      <w:pPr>
        <w:ind w:firstLine="640"/>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香河县工商业联合会上年末固定资产金额为</w:t>
      </w:r>
      <w:r>
        <w:rPr>
          <w:rFonts w:ascii="仿宋" w:hAnsi="仿宋" w:eastAsia="仿宋" w:cs="Times New Roman"/>
          <w:sz w:val="32"/>
          <w:szCs w:val="32"/>
        </w:rPr>
        <w:t>1.875</w:t>
      </w:r>
      <w:r>
        <w:rPr>
          <w:rFonts w:hint="eastAsia" w:ascii="仿宋" w:hAnsi="仿宋" w:eastAsia="仿宋" w:cs="Times New Roman"/>
          <w:sz w:val="32"/>
          <w:szCs w:val="32"/>
        </w:rPr>
        <w:t>万元，本年度未做安排。</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编制部门：香河县工商业联合会</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2017</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1.875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1.875</w:t>
            </w:r>
          </w:p>
        </w:tc>
      </w:tr>
    </w:tbl>
    <w:p>
      <w:pPr>
        <w:spacing w:line="560" w:lineRule="exact"/>
        <w:ind w:firstLine="640" w:firstLineChars="200"/>
        <w:rPr>
          <w:rFonts w:ascii="仿宋" w:hAnsi="仿宋" w:eastAsia="仿宋"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1"/>
        <w:ind w:firstLine="630" w:firstLineChars="196"/>
        <w:rPr>
          <w:rFonts w:ascii="仿宋_GB2312" w:eastAsia="仿宋_GB2312"/>
          <w:b/>
          <w:bCs/>
          <w:sz w:val="32"/>
          <w:szCs w:val="32"/>
        </w:rPr>
      </w:pPr>
      <w:r>
        <w:rPr>
          <w:rFonts w:ascii="仿宋" w:hAnsi="仿宋" w:eastAsia="仿宋"/>
          <w:b/>
          <w:bCs/>
          <w:sz w:val="32"/>
          <w:szCs w:val="32"/>
        </w:rPr>
        <w:t xml:space="preserve"> </w:t>
      </w:r>
      <w:r>
        <w:rPr>
          <w:rFonts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1"/>
        <w:rPr>
          <w:rFonts w:ascii="仿宋_GB2312" w:hAnsi="FZFangSong-Z02" w:eastAsia="仿宋_GB2312" w:cs="FZFangSong-Z02"/>
          <w:sz w:val="32"/>
          <w:szCs w:val="32"/>
        </w:rPr>
      </w:pPr>
      <w:r>
        <w:rPr>
          <w:rFonts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1"/>
        <w:rPr>
          <w:rFonts w:ascii="仿宋_GB2312" w:hAnsi="FZFangSong-Z02" w:eastAsia="仿宋_GB2312" w:cs="FZFangSong-Z02"/>
          <w:sz w:val="32"/>
          <w:szCs w:val="32"/>
        </w:rPr>
      </w:pPr>
      <w:r>
        <w:rPr>
          <w:rFonts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1"/>
        <w:rPr>
          <w:rFonts w:ascii="仿宋_GB2312" w:hAnsi="FZFangSong-Z02" w:eastAsia="仿宋_GB2312" w:cs="FZFangSong-Z02"/>
          <w:sz w:val="32"/>
          <w:szCs w:val="32"/>
        </w:rPr>
      </w:pPr>
      <w:r>
        <w:rPr>
          <w:rFonts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1"/>
        <w:rPr>
          <w:rFonts w:ascii="仿宋_GB2312" w:eastAsia="仿宋_GB2312"/>
          <w:sz w:val="32"/>
          <w:szCs w:val="32"/>
        </w:rPr>
      </w:pPr>
      <w:r>
        <w:rPr>
          <w:rFonts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1"/>
        <w:rPr>
          <w:rFonts w:ascii="仿宋_GB2312" w:hAnsi="FZFangSong-Z02" w:eastAsia="仿宋_GB2312" w:cs="FZFangSong-Z02"/>
          <w:sz w:val="32"/>
          <w:szCs w:val="32"/>
        </w:rPr>
      </w:pPr>
      <w:r>
        <w:rPr>
          <w:rFonts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p>
      <w:pPr>
        <w:rPr>
          <w:rFonts w:ascii="宋体"/>
        </w:rPr>
      </w:pPr>
    </w:p>
    <w:p>
      <w:pPr>
        <w:rPr>
          <w:rFonts w:ascii="宋体"/>
        </w:rPr>
      </w:pPr>
    </w:p>
    <w:p>
      <w:pPr>
        <w:pStyle w:val="11"/>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1E2"/>
    <w:multiLevelType w:val="singleLevel"/>
    <w:tmpl w:val="595311E2"/>
    <w:lvl w:ilvl="0" w:tentative="0">
      <w:start w:val="4"/>
      <w:numFmt w:val="chineseCounting"/>
      <w:suff w:val="nothing"/>
      <w:lvlText w:val="%1、"/>
      <w:lvlJc w:val="left"/>
      <w:rPr>
        <w:rFonts w:cs="Times New Roman"/>
      </w:rPr>
    </w:lvl>
  </w:abstractNum>
  <w:abstractNum w:abstractNumId="1">
    <w:nsid w:val="59531594"/>
    <w:multiLevelType w:val="singleLevel"/>
    <w:tmpl w:val="59531594"/>
    <w:lvl w:ilvl="0" w:tentative="0">
      <w:start w:val="6"/>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AA1"/>
    <w:rsid w:val="00037AF6"/>
    <w:rsid w:val="00042130"/>
    <w:rsid w:val="00045A61"/>
    <w:rsid w:val="00062DD6"/>
    <w:rsid w:val="000650DE"/>
    <w:rsid w:val="000751CD"/>
    <w:rsid w:val="00075D5F"/>
    <w:rsid w:val="00093D80"/>
    <w:rsid w:val="000A63E7"/>
    <w:rsid w:val="000B04B5"/>
    <w:rsid w:val="000C3A19"/>
    <w:rsid w:val="00104219"/>
    <w:rsid w:val="001245BB"/>
    <w:rsid w:val="00125FBB"/>
    <w:rsid w:val="0018479D"/>
    <w:rsid w:val="00203698"/>
    <w:rsid w:val="00207CAD"/>
    <w:rsid w:val="00223272"/>
    <w:rsid w:val="00230209"/>
    <w:rsid w:val="00241FD4"/>
    <w:rsid w:val="0024465C"/>
    <w:rsid w:val="00246DD9"/>
    <w:rsid w:val="002508C4"/>
    <w:rsid w:val="00251B12"/>
    <w:rsid w:val="00261354"/>
    <w:rsid w:val="002645FB"/>
    <w:rsid w:val="0027451B"/>
    <w:rsid w:val="00296113"/>
    <w:rsid w:val="002B5663"/>
    <w:rsid w:val="002C200A"/>
    <w:rsid w:val="002D1476"/>
    <w:rsid w:val="002D4AF7"/>
    <w:rsid w:val="002F3E58"/>
    <w:rsid w:val="0030542C"/>
    <w:rsid w:val="00311B7A"/>
    <w:rsid w:val="00332ABC"/>
    <w:rsid w:val="003A094E"/>
    <w:rsid w:val="003D2C1B"/>
    <w:rsid w:val="003E1A7F"/>
    <w:rsid w:val="003E23A5"/>
    <w:rsid w:val="003F49E7"/>
    <w:rsid w:val="00451871"/>
    <w:rsid w:val="00472923"/>
    <w:rsid w:val="00497870"/>
    <w:rsid w:val="004B37C2"/>
    <w:rsid w:val="004E3066"/>
    <w:rsid w:val="004E74CD"/>
    <w:rsid w:val="004F6123"/>
    <w:rsid w:val="00520CEC"/>
    <w:rsid w:val="005632E5"/>
    <w:rsid w:val="00565D07"/>
    <w:rsid w:val="00573562"/>
    <w:rsid w:val="00595C93"/>
    <w:rsid w:val="005C1AEB"/>
    <w:rsid w:val="005F515F"/>
    <w:rsid w:val="006009A1"/>
    <w:rsid w:val="00614A29"/>
    <w:rsid w:val="00646686"/>
    <w:rsid w:val="006D6C8A"/>
    <w:rsid w:val="006F23FE"/>
    <w:rsid w:val="007323EB"/>
    <w:rsid w:val="0075393C"/>
    <w:rsid w:val="00757221"/>
    <w:rsid w:val="00776C08"/>
    <w:rsid w:val="007851C6"/>
    <w:rsid w:val="007A1524"/>
    <w:rsid w:val="007B2D87"/>
    <w:rsid w:val="007B4EE0"/>
    <w:rsid w:val="007E1DA8"/>
    <w:rsid w:val="007F1DCF"/>
    <w:rsid w:val="007F6C26"/>
    <w:rsid w:val="007F7075"/>
    <w:rsid w:val="008334AE"/>
    <w:rsid w:val="00836FED"/>
    <w:rsid w:val="00845CD2"/>
    <w:rsid w:val="00847EA5"/>
    <w:rsid w:val="008502D8"/>
    <w:rsid w:val="00852B0D"/>
    <w:rsid w:val="00881692"/>
    <w:rsid w:val="008B3CC5"/>
    <w:rsid w:val="008C2BAF"/>
    <w:rsid w:val="008D7BF2"/>
    <w:rsid w:val="008E4261"/>
    <w:rsid w:val="008F4662"/>
    <w:rsid w:val="00905D08"/>
    <w:rsid w:val="00925753"/>
    <w:rsid w:val="00927B0B"/>
    <w:rsid w:val="009668BA"/>
    <w:rsid w:val="00966C5C"/>
    <w:rsid w:val="00967BB9"/>
    <w:rsid w:val="00973104"/>
    <w:rsid w:val="009C119B"/>
    <w:rsid w:val="00A0292C"/>
    <w:rsid w:val="00A34D76"/>
    <w:rsid w:val="00A6627D"/>
    <w:rsid w:val="00A72D2E"/>
    <w:rsid w:val="00A75351"/>
    <w:rsid w:val="00A911E7"/>
    <w:rsid w:val="00A939D9"/>
    <w:rsid w:val="00A93FC9"/>
    <w:rsid w:val="00AA71ED"/>
    <w:rsid w:val="00AF6B63"/>
    <w:rsid w:val="00B043C4"/>
    <w:rsid w:val="00B20712"/>
    <w:rsid w:val="00B43238"/>
    <w:rsid w:val="00B75216"/>
    <w:rsid w:val="00B91D52"/>
    <w:rsid w:val="00BA1ACD"/>
    <w:rsid w:val="00BA408B"/>
    <w:rsid w:val="00BC77C6"/>
    <w:rsid w:val="00C24BF5"/>
    <w:rsid w:val="00C8569A"/>
    <w:rsid w:val="00CA7176"/>
    <w:rsid w:val="00CA7FFD"/>
    <w:rsid w:val="00CD2773"/>
    <w:rsid w:val="00CE143B"/>
    <w:rsid w:val="00CE403B"/>
    <w:rsid w:val="00D361CD"/>
    <w:rsid w:val="00D80DB8"/>
    <w:rsid w:val="00DA2FDB"/>
    <w:rsid w:val="00DC3238"/>
    <w:rsid w:val="00E167C7"/>
    <w:rsid w:val="00E61024"/>
    <w:rsid w:val="00E84FEB"/>
    <w:rsid w:val="00E962DD"/>
    <w:rsid w:val="00EC47F6"/>
    <w:rsid w:val="00EE1B43"/>
    <w:rsid w:val="00F153EF"/>
    <w:rsid w:val="00F50E15"/>
    <w:rsid w:val="00F61055"/>
    <w:rsid w:val="00F66032"/>
    <w:rsid w:val="00F958C2"/>
    <w:rsid w:val="00FB4CD3"/>
    <w:rsid w:val="00FC6357"/>
    <w:rsid w:val="00FD2081"/>
    <w:rsid w:val="00FE3D85"/>
    <w:rsid w:val="00FF3A65"/>
    <w:rsid w:val="04227227"/>
    <w:rsid w:val="08B44039"/>
    <w:rsid w:val="0FB9621B"/>
    <w:rsid w:val="195F64B7"/>
    <w:rsid w:val="2074431D"/>
    <w:rsid w:val="2B625517"/>
    <w:rsid w:val="2E4B3F68"/>
    <w:rsid w:val="33C32C02"/>
    <w:rsid w:val="42675832"/>
    <w:rsid w:val="539161C5"/>
    <w:rsid w:val="554754C7"/>
    <w:rsid w:val="5D576A42"/>
    <w:rsid w:val="629C184C"/>
    <w:rsid w:val="731776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5"/>
    <w:qFormat/>
    <w:uiPriority w:val="99"/>
    <w:rPr>
      <w:rFonts w:ascii="宋体" w:hAnsi="Courier New" w:cs="Courier New"/>
      <w:szCs w:val="21"/>
    </w:rPr>
  </w:style>
  <w:style w:type="paragraph" w:styleId="3">
    <w:name w:val="footer"/>
    <w:basedOn w:val="1"/>
    <w:link w:val="9"/>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99"/>
    <w:rPr>
      <w:rFonts w:ascii="Times New Roman" w:hAnsi="Times New Roman" w:cs="Times New Roman"/>
      <w:szCs w:val="24"/>
    </w:rPr>
  </w:style>
  <w:style w:type="paragraph" w:styleId="6">
    <w:name w:val="toc 2"/>
    <w:basedOn w:val="1"/>
    <w:next w:val="1"/>
    <w:uiPriority w:val="99"/>
    <w:pPr>
      <w:ind w:left="420" w:leftChars="200"/>
    </w:pPr>
    <w:rPr>
      <w:rFonts w:ascii="Times New Roman" w:hAnsi="Times New Roman" w:cs="Times New Roman"/>
      <w:szCs w:val="24"/>
    </w:rPr>
  </w:style>
  <w:style w:type="character" w:customStyle="1" w:styleId="9">
    <w:name w:val="Footer Char"/>
    <w:basedOn w:val="7"/>
    <w:link w:val="3"/>
    <w:locked/>
    <w:uiPriority w:val="99"/>
    <w:rPr>
      <w:rFonts w:ascii="Times New Roman" w:hAnsi="Times New Roman" w:eastAsia="宋体" w:cs="Times New Roman"/>
      <w:sz w:val="18"/>
      <w:szCs w:val="18"/>
    </w:rPr>
  </w:style>
  <w:style w:type="character" w:customStyle="1" w:styleId="10">
    <w:name w:val="Header Char"/>
    <w:basedOn w:val="7"/>
    <w:link w:val="4"/>
    <w:locked/>
    <w:uiPriority w:val="99"/>
    <w:rPr>
      <w:rFonts w:ascii="Times New Roman" w:hAnsi="Times New Roman" w:eastAsia="宋体" w:cs="Times New Roman"/>
      <w:sz w:val="18"/>
      <w:szCs w:val="18"/>
    </w:rPr>
  </w:style>
  <w:style w:type="paragraph" w:customStyle="1" w:styleId="11">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2">
    <w:name w:val="列出段落1"/>
    <w:basedOn w:val="1"/>
    <w:qFormat/>
    <w:uiPriority w:val="99"/>
    <w:pPr>
      <w:ind w:firstLine="420" w:firstLineChars="200"/>
    </w:pPr>
  </w:style>
  <w:style w:type="paragraph" w:styleId="13">
    <w:name w:val="List Paragraph"/>
    <w:basedOn w:val="1"/>
    <w:qFormat/>
    <w:uiPriority w:val="99"/>
    <w:pPr>
      <w:ind w:firstLine="420" w:firstLineChars="200"/>
    </w:pPr>
  </w:style>
  <w:style w:type="character" w:customStyle="1" w:styleId="14">
    <w:name w:val="Plain Text Char"/>
    <w:basedOn w:val="7"/>
    <w:link w:val="2"/>
    <w:semiHidden/>
    <w:qFormat/>
    <w:uiPriority w:val="99"/>
    <w:rPr>
      <w:rFonts w:ascii="宋体" w:hAnsi="Courier New" w:cs="Courier New"/>
      <w:szCs w:val="21"/>
    </w:rPr>
  </w:style>
  <w:style w:type="character" w:customStyle="1" w:styleId="15">
    <w:name w:val="Plain Text Char1"/>
    <w:basedOn w:val="7"/>
    <w:link w:val="2"/>
    <w:qFormat/>
    <w:locked/>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540</Words>
  <Characters>3080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孙闹闹</cp:lastModifiedBy>
  <dcterms:modified xsi:type="dcterms:W3CDTF">2019-03-14T01:45:14Z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